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575 vom 1. März 2026</w:t>
      </w:r>
    </w:p>
    <w:p>
      <w:r>
        <w:t>BE Verwaltungsgericht, 2026-03-01, DE</w:t>
      </w:r>
    </w:p>
    <w:p>
      <w:r>
        <w:rPr>
          <w:b/>
        </w:rPr>
        <w:t xml:space="preserve">Quelle: </w:t>
      </w:r>
      <w:r>
        <w:t>https://mcp.opencaselaw.ch/entscheid/be_verwaltungsgericht_200 2025 575</w:t>
      </w:r>
    </w:p>
    <w:p>
      <w:r>
        <w:t>FR: BE_VERWALTUNGSGERICHT 200 2025 575 du 1 mars 2026</w:t>
      </w:r>
    </w:p>
    <w:p>
      <w:r>
        <w:t>IT: BE_VERWALTUNGSGERICHT 200 2025 575 del 1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24. Juli 2025 (act. II 121). Streitig und zu prüfen ist der Ergänzungs- leistungsanspruch des Beschwerdeführers ab 1. April 2024 und dabei die Anrechnung eines hypothetischen Erwerbseinkommens der nichtinvaliden Ehefrau des Beschwerdeführers. Die richterliche Beurteilung hat sich pra- xisgemäss auf diesen Punkt zu beschränken, wogegen aufgrund der Akten kein Anlass besteht, die übrigen, unbestritten gebliebenen Berechnungspo- sitionen in die Prüfung miteinzubeziehen (vgl. BGE 131 V 329 E. 4 S. 330).</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t>Urteil des Verwaltungsgerichts des Kantons Bern vom 12. März 2026, EL 200 2025 575 - 4 -</w:t>
      </w:r>
    </w:p>
    <w:p>
      <w:r>
        <w:rPr>
          <w:b/>
        </w:rPr>
        <w:t>E. 1.4</w:t>
      </w:r>
    </w:p>
    <w:p>
      <w:r>
        <w:t>Das Gericht überprüft den angefochtenen Entscheid frei und ist an die Begehren der Parteien nicht gebunden (Art. 61 lit. c und d ATSG; Art. 80 Abs. 1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Mit Ablauf der dreijährigen Übergangsfrist im Sinne von Abs. 1 der Übergangsbestimmungen sind ab 1. Januar 2024 sämtliche EL-Fälle nach dem neuen Recht zu berechnen (vgl. dazu auch Rz. 4101 des Kreisschreibens des Bundesamtes für Sozia- lversicherungen [BSV] zum Übergangsrecht der EL-Reform [KS-R EL]). Damit sind vorliegend die Bestimmungen des ELG und der ELV in der ab 1. Januar 2021 geltenden Fassung anwendbar. 2.2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festgelegt hat, die weder Ergänzungsleistungen noch Sozialhilfe beziehen; b. 60 % des Pauschalbetrages für die obligatorische Krankenpflege- versicherung nach Art. 10 Abs. 3 lit. d ELG.</w:t>
      </w:r>
    </w:p>
    <w:p>
      <w:r>
        <w:t>Urteil des Verwaltungsgerichts des Kantons Bern vom 12. März 2026, EL 200 2025 575 - 5 - Die anerkannten Ausgaben sowie die anrechenbaren Einnahmen von Ehe- gatten und von Personen mit rentenberechtigten Waisen oder mit Kindern, die einen Anspruch auf eine Kinderrente der AHV oder IV begründen, wer- den zusammengerechnet. Dies gilt auch für rentenberechtigte Waisen, die im gleichen Haushalt leben (Art. 9 Abs. 2 ELG). 2.3 Änderungen der Ergänzungsleistungen können nicht nur vorge- nommen werden, wenn die Voraussetzungen von Art. 17 ATSG und Art. 25 ELV erfüllt sind, da eine Verfügung über Ergänzungsleistungen in zeitlicher Hinsicht Rechtsbeständigkeit nur für das Kalenderjahr entfaltet. Im Rahmen der jährlichen Überprüfung können deshalb die Grundlagen zur Berech- nung der Ergänzungsleistungen ohne Bindung an früher berücksichtigte Berechnungsfaktoren und unabhängig von allfälligen während der Bemes- sungsdauer möglichen Revisionsgründen von Jahr zu Jahr neu festgelegt werden (URS MÜLLER, Rechtsprechung des Bundesgerichts zum ELG, 3. Aufl. 2015, Art. 12 N. 787 mit Hinweis auf das Urteil des Bundesgerichts [BGer] 9C_624/2012 vom 21. Dezember 2012 E. 2). 2.4 Grundsätzlich sind alle wiederkehrenden Leistungen, die nicht unter Art. 11 Abs. 3 ELG fallen, vollumfänglich als Einnahmen anzurechnen, gleichgültig, ob es sich um Geld- oder um Naturalleistungen handelt (BGE 139 V 574 E. 3.3.3 S. 578). Als Einnahmen anzurechnen sind u.a. zwei Drittel der Erwerbseinkünfte in Geld oder Naturalien, soweit sie bei allein- stehenden Personen jährlich Fr. 1'000.-- und bei Ehepaaren und Personen mit rentenberechtigten Waisen oder mit Kindern, die einen Anspruch auf eine Kinderrente der AHV oder IV begründen, Fr. 1'500.-- übersteigen; bei Ehegatten ohne Anspruch auf EL wird das Erwerbseinkommen zu 80 % angerechnet (Art. 11 Abs. 1 lit. a ELG in der bis 31. Dezember 2024 in Kraft gestandenen Fassung). 2.5 Verzichtet eine Person freiwillig auf die Ausübung einer zumutbaren Erwerbstätigkeit, so ist nach Art. 11a Abs. 1 ELG ein entsprechendes hypo- thetisches Erwerbseinkommen als anrechenbare Einnahme zu berücksich- tigen. Die Anrechnung richtet sich nach Art. 11 Abs. 1 lit. a ELG (vgl. E. 2.4 hiervor).</w:t>
      </w:r>
    </w:p>
    <w:p>
      <w:r>
        <w:t>Urteil des Verwaltungsgerichts des Kantons Bern vom 12. März 2026, EL 200 2025 575 - 6 - 2.6 Entsprechend der zu aArt. 11 Abs. 1 lit. g ELG entwickelten Praxis ist unter dem Titel des Verzichtseinkommens (Art. 11a Abs. 1 ELG) auch ein hypothetisches Einkommen des Ehegatten eines EL-Ansprechers anzu- rechnen (vgl. BBl 2016 7538), sofern auf eine zumutbare Erwerbstätigkeit oder deren zumutbare Ausdehnung verzichtet wird. Daran ändert eine (Teil-)Invalidität des betroffenen Ehepartners nichts. Ist dieser im rechtli- chen Sinne nicht invalid, ist Art. 14a wie Art. 14b ELV weder direkt noch analog anwendbar. Bei der Ermittlung einer allfälligen zumutbaren Er- werbstätigkeit der Ehefrau oder des Ehemannes ist der konkrete Einzelfall unter Anwendung familienrechtlicher Grundsätze (vgl. Art. 163 des Schwei- zerischen Zivilgesetzbuches [ZGB; SR 210]) zu berücksichtigen. Dement- sprechend ist auf das Alter, den Gesundheitszustand, die Sprachkenntnis- se, die Ausbildung, die bisherige Tätigkeit, die konkrete Arbeitsmarktlage sowie gegebenenfalls auf die Dauer der Abwesenheit vom Berufsleben abzustellen (BGE 150 V 105 E. 6.4.4 S. 115, 142 V 12 E. 3.2 S. 14; SVR 2018 EL Nr. 20 S. 51, 9C_293/2018 E. 3.2.1). Massgebend ist nicht der ausgeglichene Arbeitsmarkt; auszugehen ist vielmehr von den tatsächli- chen Verhältnissen der betreffenden Person wie auch des Arbeitsmarktes im fraglichen Zeitpunkt und in der Nähe des Wohnortes (vgl. BGE 140 V 267 E. 5.3 S. 275; AHI 2001 S. 136 E. 2d). Bemüht sich der Ehegatte trotz (teilweiser) Arbeitsfähigkeit nicht oder nur ungenügend um eine Stelle, ver- letzt er dadurch die ihm obliegende Schadenminderungspflicht (SVR 2016 EL Nr. 1 S. 1, 9C_265/2015 E. 3.2.1). 2.7 Die objektive Beweislast dafür, dass kein Einkommensverzicht im Sinne von Art. 11a Abs. 1 ELG vorliegt, weil die Arbeitskraft auf dem kon- kreten Arbeitsmarkt nicht verwertbar ist, liegt beim Leistungsansprecher (Urteil des BGer 9C_549/2016 vom 13. Juli 2017 E. 2). Auch ausserhalb des Anwendungsbereichs von Art. 14a f. ELV kann eine (in grundsätzlicher oder masslicher Hinsicht) fehlende Verwertbarkeit der Restarbeitsfähigkeit nur angenommen werden, wenn sie mit überwiegender Wahrscheinlichkeit (BGE 151 V 244 E. 3.4 S. 248) feststeht (Urteil des BGer 9C_326/2012 vom 2. Juli 2012 E. 2.2).</w:t>
      </w:r>
    </w:p>
    <w:p>
      <w:r>
        <w:t>Urteil des Verwaltungsgerichts des Kantons Bern vom 12. März 2026, EL 200 2025 575 - 7 - 3. 3.1 Die Akten enthalten diverse Absagen auf Bewerbungen der Ehegat- tin des Beschwerdeführers (auch) um Stellen mit einem geringen Anforde- rungsprofil (vgl. act. II 83, 86, 88, 92, 94 f., 101, 104 ff., 111 f., 115 ff., 120, 122 f., 125, 128). Aus dem fehlenden Erfolg der Bewerbungen kann aber nicht bereits geschlossen werden, dass der für die Ehefrau konkret in Fra- ge kommende Arbeitsmarkt gar keine geeigneten Stellen bereit hält oder eine Anstellung nur mit unzumutbarem Aufwand erreicht werden könnte, enthält doch der allgemeine Arbeitsmarkt auch Nischenarbeitsplätze und ist die Ehefrau gestützt auf die Schadenminderungspflicht gehalten, sich wei- terhin zu bewerben. Ein Verzicht auf das Einholen von Arbeitsbemühungen im Sinne von Rz. 3521.18 der Wegleitung des BSV über die Ergänzungs- leistungen zur AHV und IV (WEL; zur Bedeutung von Verwaltungsweisun- gen: BGE 151 V 264 E. 6.2 S. 266) liegt hier nicht vor, abgesehen davon, dass mit den weitestgehend allein eingereichten zahlreichen Absagen (vgl. act. II 83, 86, 88, 92, 94 f., 101, 104 ff., 111 f., 115 ff., 120, 122 f., 125, 128) – dies trotz wiederholter Aufforderung der Beschwerdegegnerin, auch die Bewerbungsschreiben einzureichen (act. II 15 S. 1 Ziff. 3, 32 S. 7 Ziff. 11.1, 40 S. 1 Ziff. 3, 49 S. 4, 59 S. 8 Ziff. 11.1, 65 S. 1 Ziff. 3) – keine (qualitativ) ausreichenden Arbeitsbemühungen erstellt sind. Dies umso weniger, als erkennbar zahlreiche Bewerbungen spontan (act. II 86 S. 11, act. II 88 S. 1, 9 f., act. II 92 S. 7, act. II 104 S. 6, act. II 107 S. 11, act. II 112 S. 10, act. II 122 S. 3) oder auf Stellen erfolgten, für die die Ehefrau des Be- schwerdeführers die notwendigen Anforderungen bezüglich Ausbildung, Arbeitserfahrungen oder Sprachkenntnisse nicht erfüllte (act. II 83 S. 1, 7, 9, 14, act. II 86 S. 6, 9, 13 f., act. II 94 S. 6 f., 9, act. II 95 S. 5, 7 f., 10, act. II 101 S. 4, 11, act. II 104 S. 7 f., act. II 106 S. 1, act. II 107 S. 3 f., act. II 108 S. 8, act. II 111 S. 3, 6, 8, 11, act. II 112 S. 5, act. II 115 S. 5, act. II 116 S. 1, 9, act. II 118 S. 2, 11, act. II 125 S. 3, 14, 16, act. II 128 S. 5, 8, 10, 29), womit diese Bewerbungen von vornherein aussichtslos waren und eine Unverwertbarkeit der Arbeitsleistung nicht zu beweisen vermögen. 3.2 Was die im konkreten Einzelfall massgebenden Kriterien betrifft (vgl. E. 2.6 hiervor), erlauben das Alter (Jahrgang 1968; act. II 59, 66 S. 2) und</w:t>
      </w:r>
    </w:p>
    <w:p>
      <w:r>
        <w:t>Urteil des Verwaltungsgerichts des Kantons Bern vom 12. März 2026, EL 200 2025 575 - 8 - der Gesundheitszustand (es bestehen keine Anhaltspunkte für eine ge- sundheitlich bedingte Einschränkung der Arbeitsfähigkeit und solches wird denn auch nicht geltend gemacht [vgl. act. II 65 S. 2]) der Ehefrau des Be- schwerdeführers ohne weiteres die Aufnahme einer Erwerbstätigkeit; er- schwerend fallen demgegenüber ihre fehlenden Sprachkenntnisse und geringe Schulbildung wie auch das Fehlen jeglicher beruflicher Ausbildung und bisheriger Erwerbstätigkeit mit entsprechend langer Abwesenheit vom Berufsleben ins Gewicht (vgl. act. II 40, 44, 48, 65). Damit ist für die Ehe- frau des Beschwerdeführers die Aufnahme einer Erwerbstätigkeit zwar weder unmöglich noch unzumutbar; indessen fällt unter den gegebenen Umständen eine Anstellung mit einem Einkommen im Bereich des statisti- schen Zentralwerts für Frauen gemäss Schweizerischer Lohnstrukturerhe- bung (LSE) des Bundesamtes für Statistik (BFS) ausser Betracht. Dies wird grundsätzlich auch von der Beschwerdegegnerin anerkannt, indem sie im Falle der Ehegattin des Beschwerdeführers mit Fr. 46'350.-- (act. II 78 S. 1, act. II 121 S. 3 f. E. 2.4 f.) ein hypothetisches Erwerbseinkommen unter dem Medianlohn für Hilfsarbeiterinnen berücksichtigt hat (vgl. act. II 121 S. 3 f. E. 2.4 f.). Nach der für die Beschwerdegegnerin verbindlichen Vorgabe des BSV (Rz. 3521.08 WEL) ist für die Festsetzung des zu berücksichtigenden Ein- kommens eines nichtinvaliden Ehegatten auf die LSE abzustellen, wobei die persönlichen Umstände wie die Wohnregion, das Alter, der Gesund- heitszustand, die Sprachkenntnisse, die Berufsausbildung, die bisher aus- geübten Tätigkeiten, die Dauer der Erwerbslosigkeit oder Familienpflichten bei der Festsetzung zu berücksichtigen sind. Welche Werte der LSE heranzuziehen sind, wird in der WEL nicht definiert. Die Beschwerdegegne- rin hat für die Ermittlung des Durchschnittslohns nach eigenen Angaben auf die Tabelle "Bruttoerwerbseinkommen pro Jahr der Erwerbstätigen nach Erwerbsstatus, Berufsgruppen, Beschäftigungsgrad und Geschlecht" des Jahres 2020 abgestellt (Arbeitsnehmende, Hilfskräfte, Vollzeit, Frauen = Fr. 51'500.--; act. II 121 S. 3 E. 2.4), wobei es sich bei dieser Tabelle nicht um eine Statistik der LSE, sondern um eine Tabelle der Schweizerischen Arbeitskräfteerhebung (SAKE) handelt. Die LSE und die SAKE unterschei- den sich grundlegend in der Erhebungsmethode und Detailtiefe: Die LSE befragt Unternehmen (alle zwei Jahre) und bietet sehr präzise Lohndaten,</w:t>
      </w:r>
    </w:p>
    <w:p>
      <w:r>
        <w:t>Urteil des Verwaltungsgerichts des Kantons Bern vom 12. März 2026, EL 200 2025 575 - 9 - während die SAKE Personen befragt (jährlich) und primär Strukturdaten liefert (vgl. &lt;www.bfs.admin.ch&gt;, unter: Statistiken/Arbeit und Erwerb/ Erhebungen/LSE bzw. SAKE). Damit ist das Abstellen auf die von der Be- schwerdegegnerin herangezogene Tabelle unzutreffend. Das Bundesge- richt geht – soweit ersichtlich – grundsätzlich von der Anwendbarkeit der Tabelle TA1 der LSE aus (vgl. Urteile des BGer 8C_244/2025 vom 13. Au- gust 2025 E. 5.3.3, 9C_316/2018 vom 24. August 2018 E. 7.1, 9C_326/2012 vom 2. Juli 2012 E. 4.5). Wird die im Zeitpunkt des angefoch- tenen Einspracheentscheids vom 24. Juli 2025 (act. II 121) aktuelle Tabelle TA1 2022 der LSE beigezogen (die Tabelle TA1 2024 der LSE wurde erst 2026 publiziert) und die betriebsübliche wöchentliche Arbeitszeit sowie die Nominallohnentwicklung bis zum Jahr 2024 berücksichtigt, ergibt sich ein Medianlohn für Frauen in einfachen Tätigkeiten körperlicher oder hand- werklicher Art pro 2024 (bei einem Vollzeitpensum) von Fr. 57'002.-- (BFS, LSE, Tabelle TA1 2022, Kompetenzniveau 1, Frauen, Total: Fr. 4'367.-- pro Monat x 12 / 40 x 41.7 [BFS, Betriebsübliche Wochenarbeitszeit nach Wirt- schaftsabteilungen, Total] / 101.4 x 105.8 [BFS, Schweizerischer Lohn- index, Tabelle T1.2.20, Nominallohnindex Frauen 2021-2024, Total, Index 2022: 101.4, Index 2024: 105.8]). Das zu berücksichtigende hypothetische Einkommen der Ehefrau des Beschwerdeführers wurde von der Beschwer- degegnerin auf Fr. 46'350.-- festgesetzt (act. II 78 S. 1, act. II 121 S. 3 f. E. 2.4 f.) und liegt damit knapp 19 % unter dem entsprechenden Median- lohn für Frauen in einfachen Tätigkeiten körperlicher oder handwerklicher Art. Die Beschwerdegegnerin hat damit den persönlichen Umständen der Ehefrau des Beschwerdeführers – unter anderem den ungenügenden Sprachkenntnissen, der geringen Schulbildung und dem Fehlen jeglicher beruflicher Ausbildung und bisheriger Erwerbstätigkeit (vgl. act. II 40, 44, 48, 65) – hinreichend Rechnung getragen. Es besteht keine Veranlassung, in das diesbezügliche Ermessen der Verwaltung einzugreifen. 3.3 Zusammenfassend ist der angefochtene Einspracheentscheid der Beschwerdegegnerin vom 24. Juli 2025 (act. II 121) im Ergebnis nicht zu beanstanden und die dagegen erhobene Beschwerde ist abzuweisen.</w:t>
      </w:r>
    </w:p>
    <w:p>
      <w:r>
        <w:t>Urteil des Verwaltungsgerichts des Kantons Bern vom 12. März 2026, EL 200 2025 575 - 10 - 4. 4.1 In Anwendung von Art. 1 Abs. 1 ELG i.V.m. Art. 61 lit. fbis ATSG (Umkehrschluss; vgl. auch BBl 2018 1639) sind keine Verfahrenskosten zu erheben. 4.2 Bei diesem Ausgang des Verfahrens besteht kein Anspruch auf eine Parteientschädigung (Art. 1 Abs. 1 ELG i.V.m. Art. 61 lit. g ATSG [Umkehr- 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